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3BA8" w:rsidRDefault="00000000">
      <w:pPr>
        <w:pStyle w:val="Textoindependiente"/>
        <w:rPr>
          <w:rFonts w:hint="eastAsia"/>
          <w:color w:val="000000"/>
        </w:rPr>
      </w:pPr>
      <w:r>
        <w:rPr>
          <w:color w:val="000000"/>
        </w:rPr>
        <w:t>A continuación, presento la evaluación de conformidad, las principales diferencias identificadas y la fundamentación para una posible desclasificación de la oferta.</w:t>
      </w:r>
    </w:p>
    <w:p w:rsidR="00083BA8" w:rsidRDefault="00083BA8">
      <w:pPr>
        <w:pStyle w:val="Textoindependiente"/>
        <w:rPr>
          <w:rFonts w:hint="eastAsia"/>
          <w:color w:val="000000"/>
        </w:rPr>
      </w:pPr>
    </w:p>
    <w:tbl>
      <w:tblPr>
        <w:tblW w:w="9972" w:type="dxa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29"/>
        <w:gridCol w:w="2134"/>
        <w:gridCol w:w="2258"/>
        <w:gridCol w:w="1503"/>
        <w:gridCol w:w="2348"/>
      </w:tblGrid>
      <w:tr w:rsidR="00083BA8">
        <w:trPr>
          <w:tblHeader/>
        </w:trPr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083BA8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Aspecto Analizado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083BA8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Requisito de la Licitación (Anexo 3)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083BA8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Detalle de la Oferta (FT Articulado Gas DD6183B01E)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083BA8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Conformidad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083BA8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Diferencia / Fundamento para Desclasificación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Tipo de Vehículo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Autobús articulado de dos cuerpos.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18-meter CNG City Bus (implica articulado).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Ambos documentos se refieren a un autobús articulado.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Autonomía Mínima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Mínimo 300 km (Sec. 2.1.c). Pag 15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especifica la autonomía.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b/>
                <w:color w:val="000000"/>
              </w:rPr>
              <w:t>Información crítica faltante</w:t>
            </w:r>
            <w:r>
              <w:rPr>
                <w:color w:val="000000"/>
              </w:rPr>
              <w:t xml:space="preserve"> que impide verificar el cumplimiento.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Peso Total Admisible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Máximo 30.000 </w:t>
            </w:r>
            <w:proofErr w:type="spellStart"/>
            <w:r>
              <w:rPr>
                <w:color w:val="000000"/>
              </w:rPr>
              <w:t>kgf</w:t>
            </w:r>
            <w:proofErr w:type="spellEnd"/>
            <w:r>
              <w:rPr>
                <w:color w:val="000000"/>
              </w:rPr>
              <w:t xml:space="preserve"> (Sec. 2.1). Pag 17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28.000 kg (</w:t>
            </w:r>
            <w:proofErr w:type="spellStart"/>
            <w:r>
              <w:rPr>
                <w:color w:val="000000"/>
              </w:rPr>
              <w:t>Vehicle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Parameters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cumple con el peso máximo admisible.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Carga por Eje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Primer Eje: 7.500 kg; Segundo/Tercer Eje: 12.500 kg (Sec. 2.1, Tabla 1). Pag 17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proofErr w:type="spellStart"/>
            <w:r>
              <w:rPr>
                <w:color w:val="000000"/>
              </w:rPr>
              <w:t>Axle</w:t>
            </w:r>
            <w:proofErr w:type="spellEnd"/>
            <w:r>
              <w:rPr>
                <w:color w:val="000000"/>
              </w:rPr>
              <w:t xml:space="preserve"> load: 6000/10500/11500 kg (</w:t>
            </w:r>
            <w:proofErr w:type="spellStart"/>
            <w:r>
              <w:rPr>
                <w:color w:val="000000"/>
              </w:rPr>
              <w:t>Vehicle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Parameters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cumple con los límites de carga por eje.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Dimensiones Máximas (Largo x Ancho x Alto)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18.5 m x 2.6 m x 4.1 m (Sec. 2.1, Tabla 3). Pag 26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18.0 m x 2.55 m x 3.59 m (</w:t>
            </w:r>
            <w:proofErr w:type="spellStart"/>
            <w:r>
              <w:rPr>
                <w:color w:val="000000"/>
              </w:rPr>
              <w:t>Vehicle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Parameters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Las dimensiones de la oferta están dentro de los máximos permitidos.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Suspensión (ECAS y Sensores de Peso CAN)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ECAS y sensores de peso integrados en red CAN (Sec. 2.2.1.3.c y d). Pag 19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Airbag </w:t>
            </w:r>
            <w:proofErr w:type="spellStart"/>
            <w:r>
              <w:rPr>
                <w:color w:val="000000"/>
              </w:rPr>
              <w:t>suspension</w:t>
            </w:r>
            <w:proofErr w:type="spellEnd"/>
            <w:r>
              <w:rPr>
                <w:color w:val="000000"/>
              </w:rPr>
              <w:t>, WABCO ECAS. No menciona sensores de peso CAN.</w:t>
            </w:r>
          </w:p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Pag 2 </w:t>
            </w:r>
            <w:proofErr w:type="spellStart"/>
            <w:r>
              <w:rPr>
                <w:color w:val="000000"/>
              </w:rPr>
              <w:t>Num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Parcialmente 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Omite el requisito de sensores de peso integrados en la red CAN.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Sistema de Combustible </w:t>
            </w:r>
            <w:r>
              <w:rPr>
                <w:b/>
                <w:color w:val="000000"/>
              </w:rPr>
              <w:lastRenderedPageBreak/>
              <w:t>GNV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Depósitos tipo 4 NTC 3847, </w:t>
            </w:r>
            <w:r>
              <w:rPr>
                <w:color w:val="000000"/>
              </w:rPr>
              <w:lastRenderedPageBreak/>
              <w:t xml:space="preserve">conductos resistentes a corrosión, abastecimiento por ambos lados, válvula de corte en tablero, punto de llenado en ambos costados, </w:t>
            </w:r>
            <w:proofErr w:type="spellStart"/>
            <w:r>
              <w:rPr>
                <w:color w:val="000000"/>
              </w:rPr>
              <w:t>NTCs</w:t>
            </w:r>
            <w:proofErr w:type="spellEnd"/>
            <w:r>
              <w:rPr>
                <w:color w:val="000000"/>
              </w:rPr>
              <w:t xml:space="preserve"> específicas (Sec. 2.2.1.6, 2.2.1.8.2). Pag 20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8X160L </w:t>
            </w:r>
            <w:proofErr w:type="spellStart"/>
            <w:r>
              <w:rPr>
                <w:color w:val="000000"/>
              </w:rPr>
              <w:t>type</w:t>
            </w:r>
            <w:proofErr w:type="spellEnd"/>
            <w:r>
              <w:rPr>
                <w:color w:val="000000"/>
              </w:rPr>
              <w:t xml:space="preserve"> 4 bottom </w:t>
            </w:r>
            <w:proofErr w:type="spellStart"/>
            <w:r>
              <w:rPr>
                <w:color w:val="000000"/>
              </w:rPr>
              <w:t>mounted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cilindros GNC. No detalla otros requisitos. </w:t>
            </w:r>
          </w:p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Parcialmente 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b/>
                <w:color w:val="000000"/>
              </w:rPr>
              <w:t xml:space="preserve">Omisión de varios detalles específicos </w:t>
            </w:r>
            <w:r>
              <w:rPr>
                <w:b/>
                <w:color w:val="000000"/>
              </w:rPr>
              <w:lastRenderedPageBreak/>
              <w:t>del sistema GNV</w:t>
            </w:r>
            <w:r>
              <w:rPr>
                <w:color w:val="000000"/>
              </w:rPr>
              <w:t xml:space="preserve"> (abastecimiento, válvula de corte, punto de llenado).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Estructura de Carrocería (Reg. 66)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Cumplimiento de </w:t>
            </w:r>
            <w:proofErr w:type="spellStart"/>
            <w:r>
              <w:rPr>
                <w:color w:val="000000"/>
              </w:rPr>
              <w:t>Regulation</w:t>
            </w:r>
            <w:proofErr w:type="spellEnd"/>
            <w:r>
              <w:rPr>
                <w:color w:val="000000"/>
              </w:rPr>
              <w:t xml:space="preserve"> No 66 y NTC 4901-2, con certificación (Sec. 2.2.2.1.c). Pag 24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Monocasco, electroforesis catódica. No hay declaración explícita de cumplimiento de Reg. 66.</w:t>
            </w:r>
          </w:p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Pag 2 </w:t>
            </w:r>
            <w:proofErr w:type="spellStart"/>
            <w:r>
              <w:rPr>
                <w:color w:val="000000"/>
              </w:rPr>
              <w:t>Num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b/>
                <w:color w:val="000000"/>
              </w:rPr>
              <w:t>Falta certificación o declaración de cumplimiento</w:t>
            </w:r>
            <w:r>
              <w:rPr>
                <w:color w:val="000000"/>
              </w:rPr>
              <w:t xml:space="preserve"> con normativa de resistencia de la superestructura.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Escotillas de Emergencia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 escotilla por cada 40 pasajeros (4 escotillas para 160 pasajeros) (Sec. 2.2.2.4.1.a). Pag 28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two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pcs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plastic</w:t>
            </w:r>
            <w:proofErr w:type="spellEnd"/>
            <w:r>
              <w:rPr>
                <w:color w:val="000000"/>
              </w:rPr>
              <w:t xml:space="preserve"> safety </w:t>
            </w:r>
            <w:proofErr w:type="spellStart"/>
            <w:r>
              <w:rPr>
                <w:color w:val="000000"/>
              </w:rPr>
              <w:t>skylight</w:t>
            </w:r>
            <w:proofErr w:type="spellEnd"/>
            <w:r>
              <w:rPr>
                <w:color w:val="000000"/>
              </w:rPr>
              <w:t>" (dos escotillas) (</w:t>
            </w:r>
            <w:proofErr w:type="spellStart"/>
            <w:r>
              <w:rPr>
                <w:color w:val="000000"/>
              </w:rPr>
              <w:t>Bodywork</w:t>
            </w:r>
            <w:proofErr w:type="spellEnd"/>
            <w:r>
              <w:rPr>
                <w:color w:val="000000"/>
              </w:rPr>
              <w:t xml:space="preserve"> &amp; Interior, </w:t>
            </w:r>
            <w:proofErr w:type="spellStart"/>
            <w:r>
              <w:rPr>
                <w:color w:val="000000"/>
              </w:rPr>
              <w:t>Headwind</w:t>
            </w:r>
            <w:proofErr w:type="spellEnd"/>
            <w:r>
              <w:rPr>
                <w:color w:val="000000"/>
              </w:rPr>
              <w:t>).</w:t>
            </w:r>
          </w:p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3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CRÍTICO: No 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b/>
                <w:color w:val="000000"/>
              </w:rPr>
              <w:t>Número insuficiente de escotillas de emergencia</w:t>
            </w:r>
            <w:r>
              <w:rPr>
                <w:color w:val="000000"/>
              </w:rPr>
              <w:t xml:space="preserve"> (2 ofrecidas vs. 4 requeridas), comprometiendo la seguridad.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b/>
                <w:color w:val="000000"/>
              </w:rPr>
            </w:pP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83BA8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Tercera Luz de Freno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Tercer stop ubicado en la parte central superior de la carrocería (Sec. 2.2.2.5.1.i). Pag 31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"High </w:t>
            </w:r>
            <w:proofErr w:type="spellStart"/>
            <w:r>
              <w:rPr>
                <w:color w:val="000000"/>
              </w:rPr>
              <w:t>Positioned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Brake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Lights</w:t>
            </w:r>
            <w:proofErr w:type="spellEnd"/>
            <w:r>
              <w:rPr>
                <w:color w:val="000000"/>
              </w:rPr>
              <w:t>: No" (</w:t>
            </w:r>
            <w:proofErr w:type="spellStart"/>
            <w:r>
              <w:rPr>
                <w:color w:val="000000"/>
              </w:rPr>
              <w:t>Electrical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Configuration</w:t>
            </w:r>
            <w:proofErr w:type="spellEnd"/>
            <w:r>
              <w:rPr>
                <w:color w:val="000000"/>
              </w:rPr>
              <w:t>).</w:t>
            </w:r>
          </w:p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Pag 4 </w:t>
            </w:r>
            <w:proofErr w:type="spellStart"/>
            <w:r>
              <w:rPr>
                <w:color w:val="000000"/>
              </w:rPr>
              <w:t>num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CRÍTICO: No 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Ausencia de una característica de seguridad obligatoria.</w:t>
            </w:r>
          </w:p>
        </w:tc>
      </w:tr>
      <w:tr w:rsidR="00083BA8">
        <w:tc>
          <w:tcPr>
            <w:tcW w:w="172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b/>
                <w:color w:val="000000"/>
              </w:rPr>
            </w:pPr>
            <w:r>
              <w:rPr>
                <w:b/>
                <w:color w:val="000000"/>
              </w:rPr>
              <w:t>Paneles Externos de Información</w:t>
            </w:r>
          </w:p>
        </w:tc>
        <w:tc>
          <w:tcPr>
            <w:tcW w:w="213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Dimensiones específicas (</w:t>
            </w:r>
            <w:proofErr w:type="spellStart"/>
            <w:r>
              <w:rPr>
                <w:color w:val="000000"/>
              </w:rPr>
              <w:t>Ej</w:t>
            </w:r>
            <w:proofErr w:type="spellEnd"/>
            <w:r>
              <w:rPr>
                <w:color w:val="000000"/>
              </w:rPr>
              <w:t xml:space="preserve">: Frontal </w:t>
            </w:r>
            <w:r>
              <w:rPr>
                <w:color w:val="000000"/>
              </w:rPr>
              <w:lastRenderedPageBreak/>
              <w:t>1900x250mm) y función anti-empañamiento (Sec. 2.2.2.18). Pag 48</w:t>
            </w:r>
          </w:p>
        </w:tc>
        <w:tc>
          <w:tcPr>
            <w:tcW w:w="22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Menciona paneles LED frontales, laterales y traseros, </w:t>
            </w:r>
            <w:r>
              <w:rPr>
                <w:color w:val="000000"/>
              </w:rPr>
              <w:lastRenderedPageBreak/>
              <w:t xml:space="preserve">pero </w:t>
            </w:r>
            <w:r>
              <w:rPr>
                <w:b/>
                <w:color w:val="000000"/>
              </w:rPr>
              <w:t>sin detalles de dimensiones ni función anti-empañamiento</w:t>
            </w:r>
            <w:r>
              <w:rPr>
                <w:color w:val="000000"/>
              </w:rPr>
              <w:t>.</w:t>
            </w:r>
          </w:p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3</w:t>
            </w:r>
          </w:p>
        </w:tc>
        <w:tc>
          <w:tcPr>
            <w:tcW w:w="1503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Parcialmente Conforme</w:t>
            </w:r>
          </w:p>
        </w:tc>
        <w:tc>
          <w:tcPr>
            <w:tcW w:w="234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083BA8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b/>
                <w:color w:val="000000"/>
              </w:rPr>
              <w:t xml:space="preserve">Falta de especificaciones dimensionales y la </w:t>
            </w:r>
            <w:r>
              <w:rPr>
                <w:b/>
                <w:color w:val="000000"/>
              </w:rPr>
              <w:lastRenderedPageBreak/>
              <w:t>función anti-empañamiento</w:t>
            </w:r>
            <w:r>
              <w:rPr>
                <w:color w:val="000000"/>
              </w:rPr>
              <w:t xml:space="preserve"> para los paneles externos.</w:t>
            </w:r>
          </w:p>
        </w:tc>
      </w:tr>
    </w:tbl>
    <w:p w:rsidR="00083BA8" w:rsidRDefault="00000000">
      <w:pPr>
        <w:pStyle w:val="Textoindependiente"/>
        <w:rPr>
          <w:rFonts w:hint="eastAsia"/>
        </w:rPr>
      </w:pPr>
      <w:r>
        <w:rPr>
          <w:rStyle w:val="Textoennegrita"/>
          <w:color w:val="000000"/>
        </w:rPr>
        <w:lastRenderedPageBreak/>
        <w:t>Resumen y Fundamentación para Desclasificación:</w:t>
      </w:r>
    </w:p>
    <w:p w:rsidR="00083BA8" w:rsidRDefault="00083BA8">
      <w:pPr>
        <w:pStyle w:val="Textoindependiente"/>
        <w:rPr>
          <w:rFonts w:hint="eastAsia"/>
          <w:color w:val="000000"/>
        </w:rPr>
      </w:pPr>
    </w:p>
    <w:p w:rsidR="00083BA8" w:rsidRDefault="00083BA8">
      <w:pPr>
        <w:rPr>
          <w:rFonts w:hint="eastAsia"/>
        </w:rPr>
      </w:pPr>
    </w:p>
    <w:sectPr w:rsidR="00083BA8">
      <w:headerReference w:type="default" r:id="rId6"/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6E82" w:rsidRDefault="000D6E82" w:rsidP="0054529A">
      <w:pPr>
        <w:rPr>
          <w:rFonts w:hint="eastAsia"/>
        </w:rPr>
      </w:pPr>
      <w:r>
        <w:separator/>
      </w:r>
    </w:p>
  </w:endnote>
  <w:endnote w:type="continuationSeparator" w:id="0">
    <w:p w:rsidR="000D6E82" w:rsidRDefault="000D6E82" w:rsidP="0054529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6E82" w:rsidRDefault="000D6E82" w:rsidP="0054529A">
      <w:pPr>
        <w:rPr>
          <w:rFonts w:hint="eastAsia"/>
        </w:rPr>
      </w:pPr>
      <w:r>
        <w:separator/>
      </w:r>
    </w:p>
  </w:footnote>
  <w:footnote w:type="continuationSeparator" w:id="0">
    <w:p w:rsidR="000D6E82" w:rsidRDefault="000D6E82" w:rsidP="0054529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529A" w:rsidRDefault="0054529A">
    <w:pPr>
      <w:pStyle w:val="Encabezado"/>
      <w:rPr>
        <w:lang w:val="es-ES_tradnl"/>
      </w:rPr>
    </w:pPr>
  </w:p>
  <w:p w:rsidR="0054529A" w:rsidRDefault="0054529A">
    <w:pPr>
      <w:pStyle w:val="Encabezado"/>
      <w:rPr>
        <w:lang w:val="es-ES_tradnl"/>
      </w:rPr>
    </w:pPr>
  </w:p>
  <w:p w:rsidR="0054529A" w:rsidRDefault="0054529A" w:rsidP="0054529A">
    <w:pPr>
      <w:pStyle w:val="Textoindependiente"/>
      <w:jc w:val="both"/>
      <w:rPr>
        <w:rFonts w:hint="eastAsia"/>
        <w:color w:val="000000"/>
      </w:rPr>
    </w:pPr>
    <w:r>
      <w:rPr>
        <w:color w:val="000000"/>
      </w:rPr>
      <w:t xml:space="preserve">Análisis comparativo detallado entre las especificaciones de la licitación para autobuses articulados GNV, contenidas en el </w:t>
    </w:r>
    <w:r>
      <w:rPr>
        <w:rStyle w:val="nfasis"/>
        <w:color w:val="000000"/>
      </w:rPr>
      <w:t>Anexo 3. ESPECIFICACIONES TÉCNICAS AUTOBUSES TRANSCARIBE (1)</w:t>
    </w:r>
    <w:r>
      <w:rPr>
        <w:color w:val="000000"/>
      </w:rPr>
      <w:t xml:space="preserve">, y la oferta de autobús articulado GNV presentada en el documento </w:t>
    </w:r>
    <w:r>
      <w:rPr>
        <w:rStyle w:val="nfasis"/>
        <w:color w:val="000000"/>
      </w:rPr>
      <w:t>FT ARTICULADO GAS DD6183B01E</w:t>
    </w:r>
    <w:r>
      <w:rPr>
        <w:color w:val="000000"/>
      </w:rPr>
      <w:t>.</w:t>
    </w:r>
  </w:p>
  <w:p w:rsidR="0054529A" w:rsidRPr="0054529A" w:rsidRDefault="0054529A">
    <w:pPr>
      <w:pStyle w:val="Encabezado"/>
      <w:rPr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BA8"/>
    <w:rsid w:val="00083BA8"/>
    <w:rsid w:val="000D6E82"/>
    <w:rsid w:val="0054529A"/>
    <w:rsid w:val="00E4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ADEE85"/>
  <w15:docId w15:val="{A1F1BF0E-B599-5D45-B3A3-D649AF79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s-CO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qFormat/>
    <w:rPr>
      <w:b/>
      <w:bCs/>
    </w:rPr>
  </w:style>
  <w:style w:type="character" w:customStyle="1" w:styleId="NumberingSymbols">
    <w:name w:val="Numbering Symbols"/>
    <w:qFormat/>
  </w:style>
  <w:style w:type="character" w:styleId="nfasis">
    <w:name w:val="Emphasis"/>
    <w:qFormat/>
    <w:rPr>
      <w:i/>
      <w:iCs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54529A"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54529A"/>
    <w:rPr>
      <w:rFonts w:cs="Mangal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54529A"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4529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518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Dionisio Arango Botero</cp:lastModifiedBy>
  <cp:revision>2</cp:revision>
  <dcterms:created xsi:type="dcterms:W3CDTF">2025-09-30T07:13:00Z</dcterms:created>
  <dcterms:modified xsi:type="dcterms:W3CDTF">2025-09-30T07:19:00Z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2025-09-27T01:02:03Z</dcterms:created>
  <dc:creator/>
  <dc:description/>
  <dc:language>en-US</dc:language>
  <cp:lastModifiedBy/>
  <dcterms:modified xsi:type="dcterms:W3CDTF">2025-09-29T16:20:58Z</dcterms:modified>
  <cp:revision>5</cp:revision>
  <dc:subject/>
  <dc:title/>
</cp:coreProperties>
</file>